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-88900</wp:posOffset>
            </wp:positionV>
            <wp:extent cx="2633345" cy="482600"/>
            <wp:effectExtent l="0" t="0" r="14605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-273050</wp:posOffset>
            </wp:positionV>
            <wp:extent cx="828040" cy="820420"/>
            <wp:effectExtent l="0" t="0" r="10160" b="17780"/>
            <wp:wrapNone/>
            <wp:docPr id="4" name="图片 4" descr="0fc5d3531ddb89f74f548b463c4a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c5d3531ddb89f74f548b463c4a904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“法治文化活动季”系列赛事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  <w:t>第三届“</w:t>
      </w:r>
      <w:r>
        <w:rPr>
          <w:rFonts w:hint="eastAsia" w:ascii="楷体" w:hAnsi="楷体" w:eastAsia="楷体" w:cs="楷体"/>
          <w:b/>
          <w:bCs/>
          <w:sz w:val="72"/>
          <w:szCs w:val="72"/>
          <w:lang w:eastAsia="zh-CN"/>
        </w:rPr>
        <w:t>法润社区”</w:t>
      </w:r>
      <w:r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  <w:t>主题大赛学术赛道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调</w:t>
      </w: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研</w:t>
      </w: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报</w:t>
      </w: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4" w:firstLineChars="3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题目：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（打印，宋体小二号）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团队名称：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团队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负责人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400"/>
        <w:jc w:val="both"/>
        <w:textAlignment w:val="auto"/>
        <w:rPr>
          <w:rFonts w:hint="default" w:ascii="宋体" w:hAnsi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负责人所在学院：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4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团队成员：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 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0" w:leftChars="400" w:firstLine="1920" w:firstLineChars="6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default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指导老师：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（打印，仿宋四号） 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  <w:sectPr>
          <w:pgSz w:w="11906" w:h="16838"/>
          <w:pgMar w:top="1417" w:right="1134" w:bottom="1417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政治与公共管理学院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题目（二号黑体，居中，加粗）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——副标题（三号黑体，居中，加粗）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作者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vertAlign w:val="superscript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（四号楷体，居中）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（1.xxx学院；2.xxx学院）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空一行，下接正文，正文字数应不少于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000字，用小四号宋体字，行距为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20磅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，标准字符间距。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正文标题层次依次为一、（一）1.（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一级标题（一、二、三、……）独占一行，居中,用四号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黑体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，加粗，标题末不加标点，上下各空一行；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二级标题((一)（二）（三）……)，首行空两格，用小四号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楷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体，加粗，标题末不加标点；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三级标题(1.2.3. ……)和四级标题（（1）（2）（3）……）均首行空两格，用小四号宋体，如果单独成行，标题末不加标点；如果列入正文不单独成行，标题末需加标点。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页面设置：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页边距：上：2.5cm，下：2.5cm，左：2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.5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cm，右：2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.5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cm。行距：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1.5倍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，标准字符间距。页脚设置：用五号宋体，页脚内容为页码，页面底端，居中，数字格式为默认格式，从正文起加入页码。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注释格式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一）关于注释的说明</w:t>
      </w:r>
      <w:r>
        <w:rPr>
          <w:rFonts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1．注释是对论文中直接引用或者间接引用他人成果部分的标注，也用于详细说明正文中的某一具体问题。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2．注释一律采用脚注，编号选用自动生成的①②③……，每页单独编号，注文用宋体小五号，脚注之间不空行。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3.同一著作如果有新版，注释一般应引用最新版本。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4．非引用原文者，注释前加“参见”；非引自原始出处的，注释前加“转引自”。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（二）注释体例：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专著类、教材类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【格式】编号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作者：《书名》，出版社和出版年份，页码。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【示例】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0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1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2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2.论文类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【格式】编号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作者（如作者系多人，中间用顿号隔开）：《论文题目》，载《期刊名称》年号（卷号）期号。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【示例】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3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4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3.文集类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【格式】编号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作者：《论文题目》，载《文集名称》年号（卷号）期号，出版社和出版年份，页码。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【示例】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5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6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4.学位论文、会议论文等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【格式】编号</w:t>
      </w:r>
      <w:r>
        <w:rPr>
          <w:rFonts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作者：文献标题，论文性质，地点或学校，文献形成时间，页码。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【示例】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7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8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5.译作类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【格式】编号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[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作者国别简称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]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作者：《书名》，译者，出版社和出版年份，页码。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【举例】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9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10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6.报纸类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【格式】编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号 [作者]：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《题名》，载《报纸名称》出版时间。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【举例】</w:t>
      </w:r>
      <w:r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11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7.古籍类</w:t>
      </w:r>
      <w:r>
        <w:rPr>
          <w:rStyle w:val="6"/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12"/>
      </w:r>
      <w:r>
        <w:rPr>
          <w:rStyle w:val="6"/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13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8.辞书类</w:t>
      </w:r>
      <w:r>
        <w:rPr>
          <w:rFonts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14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9.政府文件类</w:t>
      </w:r>
      <w:r>
        <w:rPr>
          <w:rFonts w:ascii="Tahoma" w:hAnsi="Tahoma" w:eastAsia="Tahoma" w:cs="Tahom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15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10.电子文献类</w:t>
      </w:r>
      <w:r>
        <w:rPr>
          <w:rFonts w:hint="default" w:ascii="Tahoma" w:hAnsi="Tahoma" w:eastAsia="Tahoma" w:cs="Tahom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16"/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17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11.港台著作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18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NewRoman" w:hAnsi="TimesNewRoman" w:eastAsia="TimesNewRoman" w:cs="TimesNew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（三）英文注释体例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bidi w:val="0"/>
        <w:ind w:firstLine="480" w:firstLineChars="200"/>
      </w:pPr>
      <w:r>
        <w:rPr>
          <w:lang w:val="en-US" w:eastAsia="zh-CN"/>
        </w:rPr>
        <w:t xml:space="preserve">依从该文种注释习惯。一般要写明作者、书名(或文章题目及报刊名)、出版者，出版年。著作或者文章名使用斜体，尽可能避免中外文混用。英文用 Times New Roman小四号字体，行距 20磅，标准字符间距。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1.著作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【格式】作者姓名，书名（用斜体）,出版地：出版社，出版年份,页码。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【举例】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19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2.论文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【格式】作者姓名，题目（用引号），刊物名称（用斜体），卷次（年份），页码。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【举例】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footnoteReference w:id="20"/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superscript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3.论文集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【格式】作者姓名，题目（用引号），编者姓名，文集名（用斜体），出版地：出版社，出版时间，页码。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【举例】 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ootnoteReference w:id="21"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参考文献格式（小四号宋体，加粗，顶格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1.参考文献位于正文下方，与正文空两行，是作者写作时所参考的文献书目。文献序号用方括号[1][2][3]……标注，连续编号。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2.项目名称“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参考文献：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”左顶格，小四号宋体，加粗。文献序号左顶格，后空一个字符放置文献内容，中文用小四号宋体，英文用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Times New Roman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小四号字体，行距 20磅，标准字符间距。 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同一著作如有新版，一般应引用最新版本。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参照国家标准《信息与文献参考文献著录规则》(GB/T 7714-2015)及相关惯例，文献著录格式主要有以下几种： </w:t>
      </w:r>
    </w:p>
    <w:p>
      <w:pPr>
        <w:bidi w:val="0"/>
      </w:pPr>
      <w:r>
        <w:rPr>
          <w:lang w:val="en-US" w:eastAsia="zh-CN"/>
        </w:rPr>
        <w:t xml:space="preserve">1.专著类 </w:t>
      </w:r>
    </w:p>
    <w:p>
      <w:pPr>
        <w:bidi w:val="0"/>
      </w:pPr>
      <w:r>
        <w:rPr>
          <w:lang w:val="en-US" w:eastAsia="zh-CN"/>
        </w:rPr>
        <w:t xml:space="preserve">【格式】[序号] 作者.书名[M].出版地:出版社,出版年份.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应松年.公务员法[M].北京:法律出版社,2010. </w:t>
      </w:r>
    </w:p>
    <w:p>
      <w:pPr>
        <w:bidi w:val="0"/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 xml:space="preserve">] 胡承正,周详,缪灵,等.理论物理概论:上[M].武汉:武汉大学出版社,2010. </w:t>
      </w:r>
    </w:p>
    <w:p>
      <w:pPr>
        <w:bidi w:val="0"/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 xml:space="preserve">] Eisson H N.Immunology.An introduction to molecular and cellular principles of the immune respones［M］.New York:Harper and Row,2009． </w:t>
      </w:r>
    </w:p>
    <w:p>
      <w:pPr>
        <w:bidi w:val="0"/>
      </w:pPr>
      <w:r>
        <w:rPr>
          <w:lang w:val="en-US" w:eastAsia="zh-CN"/>
        </w:rPr>
        <w:t xml:space="preserve">2.期刊类 </w:t>
      </w:r>
    </w:p>
    <w:p>
      <w:pPr>
        <w:bidi w:val="0"/>
      </w:pPr>
      <w:r>
        <w:rPr>
          <w:lang w:val="en-US" w:eastAsia="zh-CN"/>
        </w:rPr>
        <w:t xml:space="preserve">【格式】[序号]作者.篇名[J].刊名,出版年份（期号）.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刘碧强.美国公务员薪酬制度及其启示[J].哈尔滨工业大学学报,2011(1). </w:t>
      </w:r>
    </w:p>
    <w:p>
      <w:pPr>
        <w:bidi w:val="0"/>
      </w:pPr>
      <w:r>
        <w:rPr>
          <w:lang w:val="en-US" w:eastAsia="zh-CN"/>
        </w:rPr>
        <w:t>[2] 杜安国,刘捷.公务员薪酬制度的比较分析及其政策选择[J].山东科技大学学报(社会</w:t>
      </w:r>
    </w:p>
    <w:p>
      <w:pPr>
        <w:bidi w:val="0"/>
      </w:pPr>
      <w:r>
        <w:rPr>
          <w:lang w:val="en-US" w:eastAsia="zh-CN"/>
        </w:rPr>
        <w:t xml:space="preserve">科学版)[J],2003(5).  </w:t>
      </w:r>
    </w:p>
    <w:p>
      <w:pPr>
        <w:bidi w:val="0"/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 xml:space="preserve">］KANAMORI H.Shaking without quarking[J].Science,2015. </w:t>
      </w:r>
    </w:p>
    <w:p>
      <w:pPr>
        <w:bidi w:val="0"/>
      </w:pPr>
      <w:r>
        <w:rPr>
          <w:lang w:val="en-US" w:eastAsia="zh-CN"/>
        </w:rPr>
        <w:t xml:space="preserve">3.论文集、会议录 </w:t>
      </w:r>
    </w:p>
    <w:p>
      <w:pPr>
        <w:bidi w:val="0"/>
      </w:pPr>
      <w:r>
        <w:rPr>
          <w:lang w:val="en-US" w:eastAsia="zh-CN"/>
        </w:rPr>
        <w:t xml:space="preserve">【格式】[序号] 作者.篇名[文献类型标识].论文集主编.论文集名称.出版地:出版者,出版年份.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中国职工教育研究会.职工教育研究论文集[G].北京:九州出版社,2012. </w:t>
      </w:r>
    </w:p>
    <w:p>
      <w:pPr>
        <w:bidi w:val="0"/>
      </w:pPr>
      <w:r>
        <w:rPr>
          <w:lang w:val="en-US" w:eastAsia="zh-CN"/>
        </w:rPr>
        <w:t xml:space="preserve">[2] 贾东琴,柯平.面向数字素养的高校图书馆数字服务体系研究[C].中国图书馆学会.中国图书馆学会年会论文集:2011年卷.北京:国家图书馆出版社,2013. </w:t>
      </w:r>
    </w:p>
    <w:p>
      <w:pPr>
        <w:bidi w:val="0"/>
      </w:pPr>
      <w:r>
        <w:rPr>
          <w:lang w:val="en-US" w:eastAsia="zh-CN"/>
        </w:rPr>
        <w:t xml:space="preserve">4.学位论文 </w:t>
      </w:r>
    </w:p>
    <w:p>
      <w:pPr>
        <w:bidi w:val="0"/>
      </w:pPr>
      <w:r>
        <w:rPr>
          <w:lang w:val="en-US" w:eastAsia="zh-CN"/>
        </w:rPr>
        <w:t xml:space="preserve">【格式】［序号］著者.题(篇)名[D].保存地点:保存单位,年份.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[1］胡平.我国公务员薪酬结构与薪酬标准研究[D].北京:首都经济贸易大学,2013. </w:t>
      </w:r>
    </w:p>
    <w:p>
      <w:pPr>
        <w:bidi w:val="0"/>
      </w:pPr>
      <w:r>
        <w:rPr>
          <w:lang w:val="en-US" w:eastAsia="zh-CN"/>
        </w:rPr>
        <w:t>5.电子资源</w:t>
      </w:r>
    </w:p>
    <w:p>
      <w:pPr>
        <w:bidi w:val="0"/>
      </w:pPr>
      <w:r>
        <w:rPr>
          <w:lang w:val="en-US" w:eastAsia="zh-CN"/>
        </w:rPr>
        <w:t xml:space="preserve">【格式】［序号］作者.题名[文献类型/文献载体标识].(发表或更新日期)[引用日期].获取和访问地址.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李强.化解医患矛盾需釜底抽薪[EB/OL].(2012-05-03)[2013-03-25].Http://wenku. </w:t>
      </w:r>
    </w:p>
    <w:p>
      <w:pPr>
        <w:bidi w:val="0"/>
      </w:pPr>
      <w:r>
        <w:rPr>
          <w:lang w:val="en-US" w:eastAsia="zh-CN"/>
        </w:rPr>
        <w:t xml:space="preserve">baidu.com/view/47ef206b52acfc789ebc92f.html. </w:t>
      </w:r>
    </w:p>
    <w:p>
      <w:pPr>
        <w:bidi w:val="0"/>
      </w:pPr>
      <w:r>
        <w:rPr>
          <w:lang w:val="en-US" w:eastAsia="zh-CN"/>
        </w:rPr>
        <w:t xml:space="preserve">[2] 王明亮.关于中国学术期刊标准化数据库系统工程的进展[EB/OL].(1998-08-16)[201 6-10-04].Http://www.cajcd.edu.cn/pub/wml.txt/980810-2.html. </w:t>
      </w:r>
    </w:p>
    <w:p>
      <w:pPr>
        <w:bidi w:val="0"/>
      </w:pPr>
      <w:r>
        <w:rPr>
          <w:lang w:val="en-US" w:eastAsia="zh-CN"/>
        </w:rPr>
        <w:t xml:space="preserve">6.专利文献 </w:t>
      </w:r>
    </w:p>
    <w:p>
      <w:pPr>
        <w:bidi w:val="0"/>
      </w:pPr>
      <w:r>
        <w:rPr>
          <w:lang w:val="en-US" w:eastAsia="zh-CN"/>
        </w:rPr>
        <w:t xml:space="preserve">【格式】［序号］专利申请者或所有者.专利题名:专利号[文献类型标识/文献载体标识].公告日期或公开日期[引用日期].获取和访问路径（如果专利文献是电子资源，注明引用日期、获取或访问地址）.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张凯军.轨道火车及高速轨道火车紧急安全制动辅助装置:201220158825.2[P].2012- </w:t>
      </w:r>
    </w:p>
    <w:p>
      <w:pPr>
        <w:bidi w:val="0"/>
      </w:pPr>
      <w:r>
        <w:rPr>
          <w:lang w:val="en-US" w:eastAsia="zh-CN"/>
        </w:rPr>
        <w:t xml:space="preserve">-04-05. </w:t>
      </w:r>
    </w:p>
    <w:p>
      <w:pPr>
        <w:bidi w:val="0"/>
      </w:pPr>
      <w:r>
        <w:rPr>
          <w:lang w:val="en-US" w:eastAsia="zh-CN"/>
        </w:rPr>
        <w:t>[2] 河北绿洲生态环境科技有限公司.一种荒漠化地区生态植被综合培育种植方法：</w:t>
      </w:r>
    </w:p>
    <w:p>
      <w:pPr>
        <w:bidi w:val="0"/>
        <w:rPr>
          <w:rFonts w:hint="default"/>
          <w:lang w:val="en-US"/>
        </w:rPr>
      </w:pPr>
      <w:r>
        <w:rPr>
          <w:lang w:val="en-US" w:eastAsia="zh-CN"/>
        </w:rPr>
        <w:t>01129210.5[P/OL].2001-10-24[2002-05-28].http://211.152.9.47/sipoasp/zlijs</w:t>
      </w:r>
      <w:r>
        <w:rPr>
          <w:rFonts w:hint="eastAsia"/>
          <w:lang w:val="en-US" w:eastAsia="zh-CN"/>
        </w:rPr>
        <w:t>.</w:t>
      </w:r>
    </w:p>
    <w:p>
      <w:pPr>
        <w:bidi w:val="0"/>
      </w:pPr>
      <w:r>
        <w:rPr>
          <w:lang w:val="en-US" w:eastAsia="zh-CN"/>
        </w:rPr>
        <w:t xml:space="preserve">7.标准文献 </w:t>
      </w:r>
    </w:p>
    <w:p>
      <w:pPr>
        <w:bidi w:val="0"/>
      </w:pPr>
      <w:r>
        <w:rPr>
          <w:lang w:val="en-US" w:eastAsia="zh-CN"/>
        </w:rPr>
        <w:t xml:space="preserve">【格式】［序号］标准文献颁布单位.标准名称：标准编号[文献类型标识/文献载体标识]. 出版地:出版社,出版时间.[引用日期].获取和访问路径（如果标准文献是电子资源，注明引用日期、获取或访问地址）.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中国国家标准化管理委员会.信息与文献 参考文献著录规则:GB/T 7714-2015[S].北 </w:t>
      </w:r>
    </w:p>
    <w:p>
      <w:pPr>
        <w:bidi w:val="0"/>
      </w:pPr>
      <w:r>
        <w:rPr>
          <w:lang w:val="en-US" w:eastAsia="zh-CN"/>
        </w:rPr>
        <w:t xml:space="preserve">京:中国标准出版社,2015. </w:t>
      </w:r>
    </w:p>
    <w:p>
      <w:pPr>
        <w:bidi w:val="0"/>
      </w:pPr>
      <w:r>
        <w:rPr>
          <w:lang w:val="en-US" w:eastAsia="zh-CN"/>
        </w:rPr>
        <w:t xml:space="preserve">[2] 国家环境保护局科技标准司.土壤环境质量标准:GB 15616-1995[S/OL].北京:中国标 </w:t>
      </w:r>
    </w:p>
    <w:p>
      <w:pPr>
        <w:bidi w:val="0"/>
      </w:pPr>
      <w:r>
        <w:rPr>
          <w:lang w:val="en-US" w:eastAsia="zh-CN"/>
        </w:rPr>
        <w:t xml:space="preserve">准出版社,1996[2013-10-14].Http://wenku.baidu.com/view/b950a34b767f5acfalc </w:t>
      </w:r>
    </w:p>
    <w:p>
      <w:pPr>
        <w:bidi w:val="0"/>
      </w:pPr>
      <w:r>
        <w:rPr>
          <w:lang w:val="en-US" w:eastAsia="zh-CN"/>
        </w:rPr>
        <w:t xml:space="preserve">7cd49.html. </w:t>
      </w:r>
    </w:p>
    <w:p>
      <w:pPr>
        <w:bidi w:val="0"/>
      </w:pPr>
      <w:r>
        <w:rPr>
          <w:lang w:val="en-US" w:eastAsia="zh-CN"/>
        </w:rPr>
        <w:t xml:space="preserve">8.报纸 </w:t>
      </w:r>
    </w:p>
    <w:p>
      <w:pPr>
        <w:bidi w:val="0"/>
      </w:pPr>
      <w:r>
        <w:rPr>
          <w:lang w:val="en-US" w:eastAsia="zh-CN"/>
        </w:rPr>
        <w:t>【格式】［序号］作者.文献题名[文献类型标识/文献载体标识].报纸名,出版年月日(版 次).[引用日期].获取和访问路径（如果报纸是电子资源，注明引用日期、获取或访问地</w:t>
      </w:r>
    </w:p>
    <w:p>
      <w:pPr>
        <w:bidi w:val="0"/>
      </w:pPr>
      <w:r>
        <w:rPr>
          <w:lang w:val="en-US" w:eastAsia="zh-CN"/>
        </w:rPr>
        <w:t xml:space="preserve">址）.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 xml:space="preserve">[1] 丁文祥.数字革命与竞争国际化[N].中国青年报,2000-11-25(15). </w:t>
      </w:r>
    </w:p>
    <w:p>
      <w:pPr>
        <w:bidi w:val="0"/>
      </w:pPr>
      <w:r>
        <w:rPr>
          <w:lang w:val="en-US" w:eastAsia="zh-CN"/>
        </w:rPr>
        <w:t xml:space="preserve">[2] 刘裕国,杨柳,张洋,等.雾霾来袭如何突围[N/OL].人民日报,2013-01-12[2013-11-06 ].Http://paper.people.com.cn./rmb/html/2013-01/12/nw.D110000renmrb.htm. </w:t>
      </w:r>
    </w:p>
    <w:p>
      <w:pPr>
        <w:bidi w:val="0"/>
      </w:pPr>
      <w:r>
        <w:rPr>
          <w:lang w:val="en-US" w:eastAsia="zh-CN"/>
        </w:rPr>
        <w:t xml:space="preserve">9.报告 </w:t>
      </w:r>
    </w:p>
    <w:p>
      <w:pPr>
        <w:bidi w:val="0"/>
      </w:pPr>
      <w:r>
        <w:rPr>
          <w:lang w:val="en-US" w:eastAsia="zh-CN"/>
        </w:rPr>
        <w:t xml:space="preserve">【格式】［序号］主要责任者.报告题名[文献类型标识/文献载体标识].出版地:出版者， 出版时间[引用日期].获取和访问路径（如果报告是电子资源，注明发布日期[引用日期].获取或访问地址）. </w:t>
      </w:r>
    </w:p>
    <w:p>
      <w:pPr>
        <w:bidi w:val="0"/>
      </w:pPr>
      <w:r>
        <w:rPr>
          <w:lang w:val="en-US" w:eastAsia="zh-CN"/>
        </w:rPr>
        <w:t xml:space="preserve">【举例】 </w:t>
      </w:r>
    </w:p>
    <w:p>
      <w:pPr>
        <w:bidi w:val="0"/>
      </w:pPr>
      <w:r>
        <w:rPr>
          <w:lang w:val="en-US" w:eastAsia="zh-CN"/>
        </w:rPr>
        <w:t>[1] 朱家荷,韩调.铁路区间通过能力计算方法的研究[R].北京:铁道部科学研究院运输及</w:t>
      </w:r>
    </w:p>
    <w:p>
      <w:pPr>
        <w:bidi w:val="0"/>
      </w:pPr>
      <w:r>
        <w:rPr>
          <w:lang w:val="en-US" w:eastAsia="zh-CN"/>
        </w:rPr>
        <w:t xml:space="preserve">经济研究所,2005． </w:t>
      </w:r>
    </w:p>
    <w:p>
      <w:pPr>
        <w:bidi w:val="0"/>
      </w:pPr>
      <w:r>
        <w:rPr>
          <w:lang w:val="en-US" w:eastAsia="zh-CN"/>
        </w:rPr>
        <w:t xml:space="preserve">[2] 中华人民共和国国务院新闻办公室.国防白皮书:中国武装力量的多样化运用[R/OL] </w:t>
      </w:r>
    </w:p>
    <w:p>
      <w:pPr>
        <w:bidi w:val="0"/>
      </w:pPr>
      <w:r>
        <w:rPr>
          <w:lang w:val="en-US" w:eastAsia="zh-CN"/>
        </w:rPr>
        <w:t>.(2013-04-16)[2014-06-11].Http:www.mod.gov.cn/affair/2013-04/16/content_4</w:t>
      </w: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  <w:r>
        <w:rPr>
          <w:lang w:val="en-US" w:eastAsia="zh-CN"/>
        </w:rPr>
        <w:t>442839.htm.</w:t>
      </w:r>
      <w:r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  <w:t xml:space="preserve"> </w:t>
      </w: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</w:p>
    <w:p>
      <w:pPr>
        <w:bidi w:val="0"/>
        <w:rPr>
          <w:rFonts w:ascii="宋体" w:hAnsi="宋体" w:eastAsia="宋体" w:cs="宋体"/>
          <w:b w:val="0"/>
          <w:bCs w:val="0"/>
          <w:color w:val="000000"/>
          <w:kern w:val="0"/>
          <w:szCs w:val="24"/>
          <w:lang w:val="en-US" w:eastAsia="zh-CN" w:bidi="ar"/>
        </w:rPr>
      </w:pPr>
    </w:p>
    <w:p>
      <w:pPr>
        <w:bidi w:val="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图表格式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（一） 图表格式 </w:t>
      </w:r>
    </w:p>
    <w:p>
      <w:pPr>
        <w:bidi w:val="0"/>
        <w:ind w:firstLine="480" w:firstLineChars="200"/>
      </w:pPr>
      <w:r>
        <w:rPr>
          <w:lang w:val="en-US" w:eastAsia="zh-CN"/>
        </w:rPr>
        <w:t>文中的所附表格和图例应分别统一编排表号和图号并赋予标题。表格的标题为五号黑体，编号用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表1、表2、表3</w:t>
      </w:r>
      <w:r>
        <w:rPr>
          <w:rFonts w:hint="default"/>
          <w:lang w:val="en-US" w:eastAsia="zh-CN"/>
        </w:rPr>
        <w:t>……</w:t>
      </w:r>
      <w:r>
        <w:rPr>
          <w:lang w:val="en-US" w:eastAsia="zh-CN"/>
        </w:rPr>
        <w:t>，写在表格上方，居中，表下方注明表内数据精确来源，小五号楷体字，与表格左对齐放入圆括号内。图例的标题为五号黑体，编号用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图1、图2、图3</w:t>
      </w:r>
      <w:r>
        <w:rPr>
          <w:rFonts w:hint="default"/>
          <w:lang w:val="en-US" w:eastAsia="zh-CN"/>
        </w:rPr>
        <w:t>……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 xml:space="preserve">写在图例下方，居中，标题下方注明表内数据精确来源，小五号楷体字，与图例左对齐放入圆括号内。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（二）图表示例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1.表示例： </w:t>
      </w:r>
    </w:p>
    <w:p>
      <w:pPr>
        <w:bidi w:val="0"/>
        <w:jc w:val="center"/>
        <w:rPr>
          <w:rFonts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ascii="黑体" w:hAnsi="宋体" w:eastAsia="黑体" w:cs="黑体"/>
          <w:b w:val="0"/>
          <w:bCs w:val="0"/>
          <w:color w:val="000000"/>
          <w:sz w:val="21"/>
          <w:szCs w:val="21"/>
        </w:rPr>
        <w:t>表1 金融机构法定存款利率（五号黑体，居中）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858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楷体" w:hAnsi="楷体" w:eastAsia="楷体" w:cs="楷体"/>
          <w:b w:val="0"/>
          <w:bCs w:val="0"/>
          <w:color w:val="000000"/>
          <w:sz w:val="18"/>
          <w:szCs w:val="18"/>
        </w:rPr>
        <w:t>（数据来源：《中国统计年鉴2014》http://www.stats.gov.cn/tjsj/ndsj/2014/indexce.htm） ( 小五号楷体左对齐)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图示例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2348865" cy="1017905"/>
            <wp:effectExtent l="0" t="0" r="13335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 w:val="0"/>
          <w:bCs w:val="0"/>
          <w:color w:val="00000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color w:val="000000"/>
          <w:sz w:val="21"/>
          <w:szCs w:val="21"/>
        </w:rPr>
        <w:t>图1 2010至 2014年国内生产总值及其增长速度 (五号</w:t>
      </w:r>
      <w:r>
        <w:rPr>
          <w:rFonts w:hint="eastAsia" w:ascii="黑体" w:hAnsi="宋体" w:eastAsia="黑体" w:cs="黑体"/>
          <w:b w:val="0"/>
          <w:bCs w:val="0"/>
          <w:color w:val="000000"/>
          <w:sz w:val="21"/>
          <w:szCs w:val="21"/>
          <w:lang w:eastAsia="zh-CN"/>
        </w:rPr>
        <w:t>黑体</w:t>
      </w:r>
      <w:r>
        <w:rPr>
          <w:rFonts w:ascii="黑体" w:hAnsi="宋体" w:eastAsia="黑体" w:cs="黑体"/>
          <w:b w:val="0"/>
          <w:bCs w:val="0"/>
          <w:color w:val="000000"/>
          <w:sz w:val="21"/>
          <w:szCs w:val="21"/>
        </w:rPr>
        <w:t>，居中)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 w:cs="黑体"/>
          <w:b w:val="0"/>
          <w:bCs w:val="0"/>
          <w:color w:val="000000"/>
          <w:sz w:val="18"/>
          <w:szCs w:val="18"/>
        </w:rPr>
      </w:pPr>
      <w:r>
        <w:rPr>
          <w:rFonts w:ascii="楷体" w:hAnsi="楷体" w:eastAsia="楷体" w:cs="楷体"/>
          <w:b w:val="0"/>
          <w:bCs w:val="0"/>
          <w:color w:val="000000"/>
          <w:sz w:val="18"/>
          <w:szCs w:val="18"/>
        </w:rPr>
        <w:t>（数据来源：中国经济网 http://www.ce.cn/xwzx/gnsz/gdxw/201502/26/t20150226_4653371.shtml）(小五号楷体左对齐放入圆括号)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 w:cs="黑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附录（小四号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楷体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，加粗，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居中，新起一页开始）</w:t>
      </w:r>
    </w:p>
    <w:p>
      <w:pPr>
        <w:bidi w:val="0"/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附录应包括调研时的访谈提纲、访谈记录、调查问卷以及调研过程中产生的其他材料等。附录具体内容用小四号宋体，行间距</w:t>
      </w:r>
      <w:bookmarkStart w:id="0" w:name="_GoBack"/>
      <w:bookmarkEnd w:id="0"/>
      <w:r>
        <w:rPr>
          <w:rFonts w:hint="eastAsia"/>
          <w:lang w:val="en-US" w:eastAsia="zh-CN"/>
        </w:rPr>
        <w:t>20磅，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标准字符间距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sectPr>
      <w:footnotePr>
        <w:numFmt w:val="decimalEnclosedCircleChinese"/>
        <w:numRestart w:val="eachPage"/>
      </w:footnote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AADAD-5926-462F-BCDD-6C1E9D0529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28FC99-74A4-485F-84D0-FB1D31DCDA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222AF6-24BF-492A-BA2F-6780E4105C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860BF5-4439-4AB0-A34B-6166A73B8304}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0D1F9CA2-B634-4A43-A99C-D359B71F5CA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FF8103C8-4DB3-45D5-85F7-AD19F901068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4">
    <w:p>
      <w:pPr>
        <w:spacing w:line="240" w:lineRule="auto"/>
      </w:pPr>
      <w:r>
        <w:separator/>
      </w:r>
    </w:p>
  </w:footnote>
  <w:footnote w:type="continuationSeparator" w:id="45">
    <w:p>
      <w:pPr>
        <w:spacing w:line="240" w:lineRule="auto"/>
      </w:pPr>
      <w:r>
        <w:continuationSeparator/>
      </w:r>
    </w:p>
  </w:footnote>
  <w:footnote w:id="0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《马克思恩格斯选集》第 3卷，人民出版社 2011年版，第 26页。</w:t>
      </w:r>
    </w:p>
  </w:footnote>
  <w:footnote w:id="1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李道揆：《美国政府和美国政治》，中国社会科学出版社 2012年版，第 72－74页。</w:t>
      </w:r>
    </w:p>
  </w:footnote>
  <w:footnote w:id="2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周鲠生：《国际法》上册，商务印书馆 2011年版，第 156-160页。</w:t>
      </w:r>
    </w:p>
  </w:footnote>
  <w:footnote w:id="3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王亚新：《论民事、经济审判方式的改革》，载《中国社会科学》2015年第 2期。</w:t>
      </w:r>
    </w:p>
  </w:footnote>
  <w:footnote w:id="4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周荫棠：《为读一部史书运动进一解》，载《斯文》第 2卷第 4期（2010年 12月 1日）。</w:t>
      </w:r>
    </w:p>
  </w:footnote>
  <w:footnote w:id="5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龚祥瑞：《比较宪法学的研究方法》，载《比较宪法研究文集》第 1册，南京大学出版社 1993年版，第 58页。</w:t>
      </w:r>
    </w:p>
  </w:footnote>
  <w:footnote w:id="6">
    <w:p>
      <w:pPr>
        <w:pStyle w:val="2"/>
        <w:snapToGrid w:val="0"/>
        <w:ind w:left="180" w:hanging="180" w:hangingChars="10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张世鹏：《历史比较中的欧洲“第三条道路”》，载陈林、林德山主编：《第三条道路：世界之交的西方政治变革》，当代世界知识出版社2013年版，第</w:t>
      </w:r>
      <w:r>
        <w:rPr>
          <w:rFonts w:hint="default" w:ascii="宋体" w:hAnsi="宋体" w:eastAsia="宋体" w:cs="宋体"/>
          <w:b w:val="0"/>
          <w:bCs w:val="0"/>
          <w:color w:val="000000"/>
          <w:sz w:val="18"/>
          <w:szCs w:val="18"/>
        </w:rPr>
        <w:t>278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页。</w:t>
      </w:r>
    </w:p>
  </w:footnote>
  <w:footnote w:id="7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方明东：《罗隆基政治思想研究》，博士学位论文，北京师范大学历史系，2012年，第</w:t>
      </w:r>
      <w:r>
        <w:rPr>
          <w:rFonts w:hint="default" w:ascii="宋体" w:hAnsi="宋体" w:eastAsia="宋体" w:cs="宋体"/>
          <w:b w:val="0"/>
          <w:bCs w:val="0"/>
          <w:color w:val="000000"/>
          <w:sz w:val="18"/>
          <w:szCs w:val="18"/>
        </w:rPr>
        <w:t>67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页。</w:t>
      </w:r>
    </w:p>
  </w:footnote>
  <w:footnote w:id="8">
    <w:p>
      <w:pPr>
        <w:pStyle w:val="2"/>
        <w:snapToGrid w:val="0"/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任东来：《对国际体制和国际制度的理解和翻译》，全球化与亚太区域化国际研讨会论文，天津，2011年</w:t>
      </w:r>
      <w:r>
        <w:rPr>
          <w:rFonts w:hint="default" w:ascii="宋体" w:hAnsi="宋体" w:eastAsia="宋体" w:cs="宋体"/>
          <w:b w:val="0"/>
          <w:bCs w:val="0"/>
          <w:color w:val="000000"/>
          <w:sz w:val="18"/>
          <w:szCs w:val="18"/>
        </w:rPr>
        <w:t>6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月，第</w:t>
      </w:r>
      <w:r>
        <w:rPr>
          <w:rFonts w:hint="default" w:ascii="宋体" w:hAnsi="宋体" w:eastAsia="宋体" w:cs="宋体"/>
          <w:b w:val="0"/>
          <w:bCs w:val="0"/>
          <w:color w:val="000000"/>
          <w:sz w:val="18"/>
          <w:szCs w:val="18"/>
        </w:rPr>
        <w:t>9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页。</w:t>
      </w:r>
    </w:p>
  </w:footnote>
  <w:footnote w:id="9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〔英〕赫德利·布尔：《无政府社会——世界政治秩序研究》，张小明译，世界知识出版社2013年版，第</w:t>
      </w:r>
      <w:r>
        <w:rPr>
          <w:rFonts w:hint="default" w:ascii="宋体" w:hAnsi="宋体" w:eastAsia="宋体" w:cs="宋体"/>
          <w:b w:val="0"/>
          <w:bCs w:val="0"/>
          <w:color w:val="000000"/>
          <w:sz w:val="18"/>
          <w:szCs w:val="18"/>
        </w:rPr>
        <w:t>15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页。</w:t>
      </w:r>
    </w:p>
  </w:footnote>
  <w:footnote w:id="10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参见[德]罗森贝克：《证明责任论》，庄敬华译，中国法制出版社 2012年版，第 102-104页。</w:t>
      </w:r>
    </w:p>
  </w:footnote>
  <w:footnote w:id="11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王启东：《法制与法治》，载《法制日报》2012年 3月 2日。</w:t>
      </w:r>
    </w:p>
  </w:footnote>
  <w:footnote w:id="12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〔宋〕苏辙：《苏辙集》，中华书局,1990版，第 35页。</w:t>
      </w:r>
    </w:p>
  </w:footnote>
  <w:footnote w:id="13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《清德宗实录》卷 435，光绪二十四年十二月上，中华书局 1987年影印本，第 6册，第 727页。</w:t>
      </w:r>
    </w:p>
  </w:footnote>
  <w:footnote w:id="14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《辞海》，上海辞书出版社 2009年版，第 932页。</w:t>
      </w:r>
    </w:p>
  </w:footnote>
  <w:footnote w:id="15">
    <w:p>
      <w:pPr>
        <w:pStyle w:val="2"/>
        <w:snapToGrid w:val="0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财政部《关于国债代保管凭证（单）应严格执行国债兑付政策的通知》，财国债字[1995]第 25号，2015年 7月 17日。</w:t>
      </w:r>
    </w:p>
  </w:footnote>
  <w:footnote w:id="16">
    <w:p>
      <w:pPr>
        <w:keepNext w:val="0"/>
        <w:keepLines w:val="0"/>
        <w:widowControl/>
        <w:suppressLineNumbers w:val="0"/>
        <w:jc w:val="left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《中医药大学研究生学位论文规范》，http://yjs.web.sdutcm.edu.cn/xw/lwgf.htm ，2013年 6月 9日访问。</w:t>
      </w:r>
    </w:p>
  </w:footnote>
  <w:footnote w:id="17">
    <w:p>
      <w:pPr>
        <w:keepNext w:val="0"/>
        <w:keepLines w:val="0"/>
        <w:widowControl/>
        <w:suppressLineNumbers w:val="0"/>
        <w:jc w:val="left"/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王明亮：《关于中国学术期刊标准化数据库系统工程的进展，http://www.cajcd.cn/pub/wml.txt/98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0810-html,2016年 10月 4日访问。</w:t>
      </w:r>
      <w:r>
        <w:rPr>
          <w:rFonts w:ascii="TimesNewRoman" w:hAnsi="TimesNewRoman" w:eastAsia="TimesNewRoman" w:cs="TimesNew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</w:footnote>
  <w:footnote w:id="18">
    <w:p>
      <w:pPr>
        <w:pStyle w:val="2"/>
        <w:snapToGrid w:val="0"/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 w:eastAsia="宋体" w:cs="宋体"/>
          <w:b w:val="0"/>
          <w:bCs w:val="0"/>
          <w:color w:val="000000"/>
          <w:sz w:val="18"/>
          <w:szCs w:val="18"/>
        </w:rPr>
        <w:t>史尚宽：《民法总论》，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台湾荣泰印书馆1988年版，第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230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页。</w:t>
      </w:r>
    </w:p>
  </w:footnote>
  <w:footnote w:id="19">
    <w:p>
      <w:pPr>
        <w:pStyle w:val="2"/>
        <w:snapToGrid w:val="0"/>
      </w:pPr>
      <w:r>
        <w:rPr>
          <w:rStyle w:val="6"/>
        </w:rPr>
        <w:footnoteRef/>
      </w:r>
      <w:r>
        <w:t xml:space="preserve"> James Barrett, The Great Southern Railway, London:Oxford University Press,1982, p.3.（如果是连续页码，则用</w:t>
      </w:r>
      <w:r>
        <w:rPr>
          <w:rFonts w:hint="default"/>
        </w:rPr>
        <w:t>p.3-6</w:t>
      </w:r>
      <w:r>
        <w:t>）</w:t>
      </w:r>
    </w:p>
  </w:footnote>
  <w:footnote w:id="20"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 w:cstheme="minorBidi"/>
          <w:kern w:val="2"/>
          <w:sz w:val="18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 w:cs="Times New Roman"/>
          <w:kern w:val="2"/>
          <w:sz w:val="18"/>
          <w:szCs w:val="24"/>
          <w:vertAlign w:val="superscript"/>
          <w:lang w:val="en-US" w:eastAsia="zh-CN" w:bidi="ar-SA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宋体" w:cstheme="minorBidi"/>
          <w:kern w:val="2"/>
          <w:sz w:val="18"/>
          <w:szCs w:val="24"/>
          <w:lang w:val="en-US" w:eastAsia="zh-CN" w:bidi="ar-SA"/>
        </w:rPr>
        <w:t xml:space="preserve">Jennifer Ryan, “Management Marketing: a case study of Grafton Printers plc”, The Irish Marketing Journal, Vol. 3 (2008), </w:t>
      </w:r>
    </w:p>
    <w:p>
      <w:pPr>
        <w:keepNext w:val="0"/>
        <w:keepLines w:val="0"/>
        <w:widowControl/>
        <w:suppressLineNumbers w:val="0"/>
        <w:ind w:firstLine="180" w:firstLineChars="100"/>
        <w:jc w:val="left"/>
      </w:pPr>
      <w:r>
        <w:rPr>
          <w:rFonts w:hint="default" w:ascii="Times New Roman" w:hAnsi="Times New Roman" w:eastAsia="宋体" w:cstheme="minorBidi"/>
          <w:kern w:val="2"/>
          <w:sz w:val="18"/>
          <w:szCs w:val="24"/>
          <w:lang w:val="en-US" w:eastAsia="zh-CN" w:bidi="ar-SA"/>
        </w:rPr>
        <w:t xml:space="preserve">p.12. </w:t>
      </w:r>
    </w:p>
  </w:footnote>
  <w:footnote w:id="21">
    <w:p>
      <w:pPr>
        <w:pStyle w:val="2"/>
        <w:snapToGrid w:val="0"/>
        <w:ind w:left="180" w:hanging="180" w:hangingChars="100"/>
        <w:rPr>
          <w:rFonts w:ascii="Times New Roman" w:hAnsi="Times New Roman" w:eastAsia="宋体" w:cstheme="minorBidi"/>
          <w:kern w:val="2"/>
          <w:sz w:val="18"/>
          <w:szCs w:val="24"/>
          <w:lang w:val="en-US" w:eastAsia="zh-CN" w:bidi="ar-SA"/>
        </w:rPr>
      </w:pPr>
      <w:r>
        <w:rPr>
          <w:rStyle w:val="6"/>
        </w:rPr>
        <w:footnoteRef/>
      </w:r>
      <w:r>
        <w:t xml:space="preserve"> </w:t>
      </w:r>
      <w:r>
        <w:rPr>
          <w:rFonts w:ascii="Times New Roman" w:hAnsi="Times New Roman" w:eastAsia="宋体" w:cstheme="minorBidi"/>
          <w:kern w:val="2"/>
          <w:sz w:val="18"/>
          <w:szCs w:val="24"/>
          <w:lang w:val="en-US" w:eastAsia="zh-CN" w:bidi="ar-SA"/>
        </w:rPr>
        <w:t xml:space="preserve">Howard Lemontree, “Discourse </w:t>
      </w:r>
      <w:r>
        <w:rPr>
          <w:rFonts w:hint="default" w:ascii="Times New Roman" w:hAnsi="Times New Roman" w:eastAsia="宋体" w:cstheme="minorBidi"/>
          <w:kern w:val="2"/>
          <w:sz w:val="18"/>
          <w:szCs w:val="24"/>
          <w:lang w:val="en-US" w:eastAsia="zh-CN" w:bidi="ar-SA"/>
        </w:rPr>
        <w:t>Markers” ,Joseph Keyes (ed), Discourse across Varieties, London:Oxford University Press, 2013, p.45.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4"/>
    <w:footnote w:id="4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TdkNDQ3ZWYzZjk2NWM3ZThlODAwNzI4NzA3MGUifQ=="/>
  </w:docVars>
  <w:rsids>
    <w:rsidRoot w:val="4B130F12"/>
    <w:rsid w:val="00E50B53"/>
    <w:rsid w:val="033E071B"/>
    <w:rsid w:val="0ACA3E53"/>
    <w:rsid w:val="0CAD246E"/>
    <w:rsid w:val="0E0704A4"/>
    <w:rsid w:val="11CF60BA"/>
    <w:rsid w:val="14733F9D"/>
    <w:rsid w:val="1A034EBB"/>
    <w:rsid w:val="33FB393B"/>
    <w:rsid w:val="3617612A"/>
    <w:rsid w:val="4B130F12"/>
    <w:rsid w:val="511931FB"/>
    <w:rsid w:val="5588094F"/>
    <w:rsid w:val="57A87DE8"/>
    <w:rsid w:val="5FB567E4"/>
    <w:rsid w:val="5FFC4413"/>
    <w:rsid w:val="63B70D7D"/>
    <w:rsid w:val="69323203"/>
    <w:rsid w:val="6D480C98"/>
    <w:rsid w:val="71B11E0D"/>
    <w:rsid w:val="75A31161"/>
    <w:rsid w:val="795D662A"/>
    <w:rsid w:val="798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2995</Words>
  <Characters>4099</Characters>
  <Lines>0</Lines>
  <Paragraphs>0</Paragraphs>
  <TotalTime>14</TotalTime>
  <ScaleCrop>false</ScaleCrop>
  <LinksUpToDate>false</LinksUpToDate>
  <CharactersWithSpaces>4355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2024-11-22T01:27:00Z</dcterms:created>
  <dc:creator>Administrator</dc:creator>
  <cp:lastModifiedBy>架豆多多</cp:lastModifiedBy>
  <dcterms:modified xsi:type="dcterms:W3CDTF">2025-10-16T06:42:20Z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F2FC232AB906490DBD735A6E1EDD623D_13</vt:lpwstr>
  </property>
</Properties>
</file>